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27" w:rsidRDefault="00913D65" w:rsidP="00913D65">
      <w:pPr>
        <w:pStyle w:val="berschrift2"/>
      </w:pPr>
      <w:r>
        <w:t>Leserbrief zu „Ein Ausflug in den Compilerbau“ von Torsten Brandes (LOG IN Heft Nr. 156 (2009), S. 59-64)</w:t>
      </w:r>
    </w:p>
    <w:p w:rsidR="001B7402" w:rsidRDefault="00913D65">
      <w:r>
        <w:t>Herr Brandes</w:t>
      </w:r>
      <w:r w:rsidR="00BE2F27">
        <w:t xml:space="preserve"> hat einen Beitrag vorgelegt, der die Motivation für T</w:t>
      </w:r>
      <w:r w:rsidR="001B7402">
        <w:t>heoretische Informatik (TI), insb</w:t>
      </w:r>
      <w:r w:rsidR="001B7402">
        <w:t>e</w:t>
      </w:r>
      <w:r w:rsidR="001B7402">
        <w:t>sondere formale Sprachen</w:t>
      </w:r>
      <w:r w:rsidR="00F02069">
        <w:t>,</w:t>
      </w:r>
      <w:r w:rsidR="001B7402">
        <w:t xml:space="preserve"> aus dem Compilerbau</w:t>
      </w:r>
      <w:r w:rsidR="00BE2F27">
        <w:t xml:space="preserve"> gewinnt. Dies entspricht </w:t>
      </w:r>
      <w:r w:rsidR="0008653F">
        <w:t xml:space="preserve">auch </w:t>
      </w:r>
      <w:r w:rsidR="00BE2F27">
        <w:t>der Sicht von W</w:t>
      </w:r>
      <w:r w:rsidR="00BE2F27">
        <w:t>a</w:t>
      </w:r>
      <w:r w:rsidR="00BE2F27">
        <w:t>g</w:t>
      </w:r>
      <w:r w:rsidR="001B7402">
        <w:t>en</w:t>
      </w:r>
      <w:r w:rsidR="00F02069">
        <w:softHyphen/>
      </w:r>
      <w:r w:rsidR="001B7402">
        <w:t>knecht und Hielscher, die in /1</w:t>
      </w:r>
      <w:r w:rsidR="00BE2F27">
        <w:t>/ dieses Potenzial für den Informatikunterricht herausgestellt h</w:t>
      </w:r>
      <w:r w:rsidR="00BE2F27">
        <w:t>a</w:t>
      </w:r>
      <w:r w:rsidR="00BE2F27">
        <w:t xml:space="preserve">ben. </w:t>
      </w:r>
      <w:r w:rsidR="009F60CB">
        <w:t>In /</w:t>
      </w:r>
      <w:r w:rsidR="001B7402">
        <w:t>2</w:t>
      </w:r>
      <w:r w:rsidR="009F60CB">
        <w:t>/ wird ein Kurs zur Einführung formaler Sprachen und abstrakter Automaten mit Anwe</w:t>
      </w:r>
      <w:r w:rsidR="009F60CB">
        <w:t>n</w:t>
      </w:r>
      <w:r w:rsidR="009F60CB">
        <w:t>dung</w:t>
      </w:r>
      <w:r w:rsidR="001B7402">
        <w:t>en</w:t>
      </w:r>
      <w:r w:rsidR="009F60CB">
        <w:t xml:space="preserve"> im automatisierten Compilerbau beschrieben. Dabei wird eine Lern- und Arbeitsumgebung AtoCC</w:t>
      </w:r>
      <w:r w:rsidR="008227A6">
        <w:t xml:space="preserve"> (http://www.atocc.de)</w:t>
      </w:r>
      <w:r w:rsidR="009F60CB">
        <w:t xml:space="preserve"> einbezogen. </w:t>
      </w:r>
    </w:p>
    <w:p w:rsidR="00F02069" w:rsidRDefault="00BE2F27">
      <w:r>
        <w:t>Neben der Vermittlung</w:t>
      </w:r>
      <w:r w:rsidR="001B7402">
        <w:t xml:space="preserve"> von TI-Inhalten verfolgt Herr Brandes</w:t>
      </w:r>
      <w:r>
        <w:t xml:space="preserve"> weitere Lehrziele,</w:t>
      </w:r>
      <w:r w:rsidR="009F60CB">
        <w:t xml:space="preserve"> die die Programmi</w:t>
      </w:r>
      <w:r w:rsidR="009F60CB">
        <w:t>e</w:t>
      </w:r>
      <w:r w:rsidR="009F60CB">
        <w:t xml:space="preserve">rung mit Java betreffen. Für die betrachteten Syntaxanalyseverfahren und Berechnungen werden folglich Java-Programme entwickelt. </w:t>
      </w:r>
      <w:r w:rsidR="000350DA">
        <w:t xml:space="preserve">Dieses Vorgehen birgt </w:t>
      </w:r>
      <w:r w:rsidR="001B7402">
        <w:t>offensichtlich</w:t>
      </w:r>
      <w:r w:rsidR="000350DA">
        <w:t xml:space="preserve"> die Gefahr, dass </w:t>
      </w:r>
      <w:r w:rsidR="009F60CB">
        <w:t>Modelli</w:t>
      </w:r>
      <w:r w:rsidR="009F60CB">
        <w:t>e</w:t>
      </w:r>
      <w:r w:rsidR="009F60CB">
        <w:t>rungsa</w:t>
      </w:r>
      <w:r w:rsidR="001B7402">
        <w:t>s</w:t>
      </w:r>
      <w:r w:rsidR="009F60CB">
        <w:t>pekt</w:t>
      </w:r>
      <w:r w:rsidR="000350DA">
        <w:t>e</w:t>
      </w:r>
      <w:r w:rsidR="009F60CB">
        <w:t xml:space="preserve"> </w:t>
      </w:r>
      <w:r w:rsidR="000350DA">
        <w:t xml:space="preserve">zugunsten der Implementierungsaufgabe </w:t>
      </w:r>
      <w:r w:rsidR="009F60CB">
        <w:t>in den Hi</w:t>
      </w:r>
      <w:r w:rsidR="000350DA">
        <w:t xml:space="preserve">ntergrund treten. </w:t>
      </w:r>
      <w:r w:rsidR="008227A6">
        <w:t>Auch im vorli</w:t>
      </w:r>
      <w:r w:rsidR="008227A6">
        <w:t>e</w:t>
      </w:r>
      <w:r w:rsidR="008227A6">
        <w:t>genden</w:t>
      </w:r>
      <w:r w:rsidR="000350DA">
        <w:t xml:space="preserve"> Beitrag </w:t>
      </w:r>
      <w:r w:rsidR="008227A6">
        <w:t>findet man solche Stellen, deren konzeptionelle Betrachtung durch „geschickte I</w:t>
      </w:r>
      <w:r w:rsidR="008227A6">
        <w:t>m</w:t>
      </w:r>
      <w:r w:rsidR="008227A6">
        <w:t>plementierung“ ü</w:t>
      </w:r>
      <w:r w:rsidR="00F02069">
        <w:t xml:space="preserve">berschattet wird. </w:t>
      </w:r>
      <w:r w:rsidR="0097254A" w:rsidRPr="0097254A">
        <w:t>Wir möchten hier zur Verwendung von AtoCC anregen</w:t>
      </w:r>
      <w:r w:rsidR="0097254A">
        <w:t>,</w:t>
      </w:r>
      <w:r w:rsidR="0097254A" w:rsidRPr="0097254A">
        <w:t xml:space="preserve"> um den Mode</w:t>
      </w:r>
      <w:r w:rsidR="0097254A">
        <w:t>l</w:t>
      </w:r>
      <w:r w:rsidR="0097254A" w:rsidRPr="0097254A">
        <w:t>lierungsaspekt deutlicher hervorzuheben</w:t>
      </w:r>
      <w:r w:rsidR="0097254A">
        <w:t>.</w:t>
      </w:r>
      <w:r w:rsidR="008227A6">
        <w:t xml:space="preserve"> </w:t>
      </w:r>
      <w:r w:rsidR="0097254A">
        <w:t>Die</w:t>
      </w:r>
      <w:r w:rsidR="00F02069">
        <w:t xml:space="preserve"> von Brandes </w:t>
      </w:r>
      <w:r w:rsidR="008227A6">
        <w:t>erarbeite</w:t>
      </w:r>
      <w:r w:rsidR="00F02069">
        <w:t>ten</w:t>
      </w:r>
      <w:r w:rsidR="008227A6">
        <w:t xml:space="preserve"> Java-Programme </w:t>
      </w:r>
      <w:r w:rsidR="0097254A">
        <w:t>we</w:t>
      </w:r>
      <w:r w:rsidR="0097254A">
        <w:t>r</w:t>
      </w:r>
      <w:r w:rsidR="0097254A">
        <w:t>den dabei einbezogen</w:t>
      </w:r>
      <w:r w:rsidR="000350DA">
        <w:t xml:space="preserve">. </w:t>
      </w:r>
      <w:r w:rsidR="00AD7B70">
        <w:t xml:space="preserve">Weiter unten </w:t>
      </w:r>
      <w:r w:rsidR="00F02069">
        <w:t xml:space="preserve">findet sich </w:t>
      </w:r>
      <w:r w:rsidR="00AD7B70">
        <w:t xml:space="preserve">außerdem </w:t>
      </w:r>
      <w:r w:rsidR="00F02069">
        <w:t>eine</w:t>
      </w:r>
      <w:r w:rsidR="008F21C5">
        <w:t xml:space="preserve"> fast</w:t>
      </w:r>
      <w:r w:rsidR="00F02069">
        <w:t xml:space="preserve"> Java-freie Lösung.</w:t>
      </w:r>
    </w:p>
    <w:p w:rsidR="00BE2F27" w:rsidRDefault="009F60CB">
      <w:r>
        <w:t>Der Autor des</w:t>
      </w:r>
      <w:r w:rsidR="00F9484C">
        <w:t xml:space="preserve"> o.g.</w:t>
      </w:r>
      <w:r>
        <w:t xml:space="preserve"> B</w:t>
      </w:r>
      <w:r>
        <w:t>a</w:t>
      </w:r>
      <w:r>
        <w:t xml:space="preserve">sisartikels geht </w:t>
      </w:r>
      <w:r w:rsidR="00F9484C">
        <w:t xml:space="preserve">in </w:t>
      </w:r>
      <w:r w:rsidR="000350DA">
        <w:t>von folgender Grammatik aus.</w:t>
      </w:r>
    </w:p>
    <w:p w:rsidR="000D3DF0" w:rsidRPr="00724DAE" w:rsidRDefault="00BE2F27" w:rsidP="00BE2F27">
      <w:pPr>
        <w:rPr>
          <w:rFonts w:ascii="Courier New" w:hAnsi="Courier New" w:cs="Courier New"/>
          <w:sz w:val="20"/>
        </w:rPr>
      </w:pPr>
      <w:r w:rsidRPr="00724DAE">
        <w:rPr>
          <w:rFonts w:ascii="Courier New" w:hAnsi="Courier New" w:cs="Courier New"/>
          <w:sz w:val="20"/>
        </w:rPr>
        <w:t>G = (N, T, P, s)</w:t>
      </w:r>
      <w:r w:rsidRPr="00724DAE">
        <w:rPr>
          <w:rFonts w:ascii="Courier New" w:hAnsi="Courier New" w:cs="Courier New"/>
          <w:sz w:val="20"/>
        </w:rPr>
        <w:br/>
        <w:t>N = {Ausdruck, Summand, Faktor, Ziffer}</w:t>
      </w:r>
      <w:r w:rsidRPr="00724DAE">
        <w:rPr>
          <w:rFonts w:ascii="Courier New" w:hAnsi="Courier New" w:cs="Courier New"/>
          <w:sz w:val="20"/>
        </w:rPr>
        <w:br/>
        <w:t>T = {+, *, (, ), 0, 1, 2, 3, 4, 5, 6, 7, 8, 9}</w:t>
      </w:r>
      <w:r w:rsidRPr="00724DAE">
        <w:rPr>
          <w:rFonts w:ascii="Courier New" w:hAnsi="Courier New" w:cs="Courier New"/>
          <w:sz w:val="20"/>
        </w:rPr>
        <w:br/>
        <w:t xml:space="preserve">P = { Ausdruck -&gt; Summand | Summand + Ausdruck | Summand </w:t>
      </w:r>
      <w:r w:rsidRPr="00724DAE">
        <w:rPr>
          <w:rFonts w:ascii="Courier New" w:hAnsi="Courier New" w:cs="Courier New"/>
          <w:sz w:val="20"/>
        </w:rPr>
        <w:br/>
        <w:t xml:space="preserve">      Summand  -&gt; Faktor | Faktor * Summand</w:t>
      </w:r>
      <w:r w:rsidRPr="00724DAE">
        <w:rPr>
          <w:rFonts w:ascii="Courier New" w:hAnsi="Courier New" w:cs="Courier New"/>
          <w:sz w:val="20"/>
        </w:rPr>
        <w:br/>
        <w:t xml:space="preserve">      Faktor   -&gt; Ziffer | ( Ausdruck )</w:t>
      </w:r>
      <w:r w:rsidRPr="00724DAE">
        <w:rPr>
          <w:rFonts w:ascii="Courier New" w:hAnsi="Courier New" w:cs="Courier New"/>
          <w:sz w:val="20"/>
        </w:rPr>
        <w:br/>
        <w:t xml:space="preserve">      Ziffer   -&gt; 0 | 1 | 2 | 3 | 4 | 5 | 6 | 7 | 8 | 9  }</w:t>
      </w:r>
      <w:r w:rsidRPr="00724DAE">
        <w:rPr>
          <w:rFonts w:ascii="Courier New" w:hAnsi="Courier New" w:cs="Courier New"/>
          <w:sz w:val="20"/>
        </w:rPr>
        <w:br/>
        <w:t>s = Ausdruck</w:t>
      </w:r>
    </w:p>
    <w:p w:rsidR="000D3DF0" w:rsidRDefault="000D3DF0">
      <w:r>
        <w:t>Der Text</w:t>
      </w:r>
      <w:r w:rsidR="00F9484C">
        <w:t xml:space="preserve"> von Brandes</w:t>
      </w:r>
      <w:r>
        <w:t xml:space="preserve"> suggeriert, dass man die Syntaxanalyse für G mit einem Parser erledigen kann, der nach dem Prinzip des rekursiven Abstiegs arbeitet. Das ist falsch, da G die erforderliche Vorau</w:t>
      </w:r>
      <w:r>
        <w:t>s</w:t>
      </w:r>
      <w:r>
        <w:t>setzung, nämlich eine LL(1)-Grammatik zu sein, nicht erfüllt.</w:t>
      </w:r>
    </w:p>
    <w:p w:rsidR="00BE2F27" w:rsidRDefault="00BE2F27" w:rsidP="00BE2F27">
      <w:pPr>
        <w:jc w:val="center"/>
      </w:pPr>
      <w:r>
        <w:rPr>
          <w:noProof/>
          <w:lang w:eastAsia="de-DE"/>
        </w:rPr>
        <w:drawing>
          <wp:inline distT="0" distB="0" distL="0" distR="0">
            <wp:extent cx="3684083" cy="2282491"/>
            <wp:effectExtent l="1905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249" cy="228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DF0" w:rsidRDefault="000D3DF0">
      <w:r>
        <w:t xml:space="preserve">Dass es </w:t>
      </w:r>
      <w:r w:rsidR="00F9484C">
        <w:t xml:space="preserve">mit den statischen Java-Methoden </w:t>
      </w:r>
      <w:r>
        <w:t xml:space="preserve">dennoch funktioniert, </w:t>
      </w:r>
      <w:r w:rsidR="000350DA">
        <w:t>liegt daran, dass</w:t>
      </w:r>
      <w:r w:rsidR="00492CAB">
        <w:t xml:space="preserve"> </w:t>
      </w:r>
      <w:r>
        <w:t>die Implementi</w:t>
      </w:r>
      <w:r>
        <w:t>e</w:t>
      </w:r>
      <w:r>
        <w:t>rung nicht die oben gen</w:t>
      </w:r>
      <w:r w:rsidR="000350DA">
        <w:t>annte Grammatik</w:t>
      </w:r>
      <w:r w:rsidR="00F9484C">
        <w:t xml:space="preserve"> umsetzt</w:t>
      </w:r>
      <w:r w:rsidR="000350DA">
        <w:t xml:space="preserve">, sondern </w:t>
      </w:r>
      <w:r w:rsidR="00492CAB">
        <w:t>die folgende</w:t>
      </w:r>
      <w:r>
        <w:t xml:space="preserve">. </w:t>
      </w:r>
    </w:p>
    <w:p w:rsidR="00A668F2" w:rsidRPr="00724DAE" w:rsidRDefault="00A668F2" w:rsidP="00A668F2">
      <w:pPr>
        <w:rPr>
          <w:rFonts w:ascii="Courier New" w:hAnsi="Courier New" w:cs="Courier New"/>
          <w:sz w:val="20"/>
        </w:rPr>
      </w:pPr>
      <w:r w:rsidRPr="00724DAE">
        <w:rPr>
          <w:rFonts w:ascii="Courier New" w:hAnsi="Courier New" w:cs="Courier New"/>
          <w:sz w:val="20"/>
        </w:rPr>
        <w:lastRenderedPageBreak/>
        <w:t>G</w:t>
      </w:r>
      <w:r w:rsidR="000350DA" w:rsidRPr="00724DAE">
        <w:rPr>
          <w:rFonts w:ascii="Courier New" w:hAnsi="Courier New" w:cs="Courier New"/>
          <w:sz w:val="20"/>
        </w:rPr>
        <w:t xml:space="preserve"> </w:t>
      </w:r>
      <w:r w:rsidRPr="00724DAE">
        <w:rPr>
          <w:rFonts w:ascii="Courier New" w:hAnsi="Courier New" w:cs="Courier New"/>
          <w:sz w:val="20"/>
        </w:rPr>
        <w:t>= (N, T, P, s)</w:t>
      </w:r>
      <w:r w:rsidRPr="00724DAE">
        <w:rPr>
          <w:rFonts w:ascii="Courier New" w:hAnsi="Courier New" w:cs="Courier New"/>
          <w:sz w:val="20"/>
        </w:rPr>
        <w:br/>
        <w:t>N = {Ausdruck, Ausdruck1, Summand, Summand1, Faktor, Ziffer}</w:t>
      </w:r>
      <w:r w:rsidRPr="00724DAE">
        <w:rPr>
          <w:rFonts w:ascii="Courier New" w:hAnsi="Courier New" w:cs="Courier New"/>
          <w:sz w:val="20"/>
        </w:rPr>
        <w:br/>
        <w:t>T = {+, *, (, ), 0, 1, 2, 3, 4, 5, 6, 7, 8, 9}</w:t>
      </w:r>
      <w:r w:rsidRPr="00724DAE">
        <w:rPr>
          <w:rFonts w:ascii="Courier New" w:hAnsi="Courier New" w:cs="Courier New"/>
          <w:sz w:val="20"/>
        </w:rPr>
        <w:br/>
        <w:t xml:space="preserve">P = { Ausdruck  -&gt; Summand Ausdruck1 </w:t>
      </w:r>
      <w:r w:rsidRPr="00724DAE">
        <w:rPr>
          <w:rFonts w:ascii="Courier New" w:hAnsi="Courier New" w:cs="Courier New"/>
          <w:sz w:val="20"/>
        </w:rPr>
        <w:br/>
        <w:t xml:space="preserve">      Ausdruck1 -&gt; + Ausdruck | EPSILON </w:t>
      </w:r>
      <w:r w:rsidRPr="00724DAE">
        <w:rPr>
          <w:rFonts w:ascii="Courier New" w:hAnsi="Courier New" w:cs="Courier New"/>
          <w:sz w:val="20"/>
        </w:rPr>
        <w:br/>
        <w:t xml:space="preserve">      Summand   -&gt; Faktor Summand1 </w:t>
      </w:r>
      <w:r w:rsidRPr="00724DAE">
        <w:rPr>
          <w:rFonts w:ascii="Courier New" w:hAnsi="Courier New" w:cs="Courier New"/>
          <w:sz w:val="20"/>
        </w:rPr>
        <w:br/>
        <w:t xml:space="preserve">      Summand1  -&gt; * Summand | EPSILON </w:t>
      </w:r>
      <w:r w:rsidRPr="00724DAE">
        <w:rPr>
          <w:rFonts w:ascii="Courier New" w:hAnsi="Courier New" w:cs="Courier New"/>
          <w:sz w:val="20"/>
        </w:rPr>
        <w:br/>
        <w:t xml:space="preserve">      Faktor    -&gt; ( Ausdruck ) | Ziffer </w:t>
      </w:r>
      <w:r w:rsidRPr="00724DAE">
        <w:rPr>
          <w:rFonts w:ascii="Courier New" w:hAnsi="Courier New" w:cs="Courier New"/>
          <w:sz w:val="20"/>
        </w:rPr>
        <w:br/>
        <w:t xml:space="preserve">      Ziffer    -&gt; 0 | 1 | 2 | 3 | 4 | 5 | 6 | 7 | 8 | 9 }</w:t>
      </w:r>
      <w:r w:rsidRPr="00724DAE">
        <w:rPr>
          <w:rFonts w:ascii="Courier New" w:hAnsi="Courier New" w:cs="Courier New"/>
          <w:sz w:val="20"/>
        </w:rPr>
        <w:br/>
        <w:t>s = Ausdruck</w:t>
      </w:r>
    </w:p>
    <w:p w:rsidR="00A668F2" w:rsidRDefault="00F9484C" w:rsidP="00A668F2">
      <w:r>
        <w:t xml:space="preserve">Diese Grammatik </w:t>
      </w:r>
      <w:r w:rsidR="000350DA">
        <w:t xml:space="preserve">G (auf Indizierung zur Unterscheidung der Grammatiken wollen wir hier verzichten) erfüllt in der Tat die LL(1)-Forderungen und entsteht aus </w:t>
      </w:r>
      <w:r>
        <w:t xml:space="preserve">obiger </w:t>
      </w:r>
      <w:r w:rsidR="000350DA">
        <w:t>G</w:t>
      </w:r>
      <w:r>
        <w:t>rammatik</w:t>
      </w:r>
      <w:r w:rsidR="000350DA">
        <w:t xml:space="preserve"> durch die Transformation </w:t>
      </w:r>
      <w:r>
        <w:t>Linksfaktorisierung (</w:t>
      </w:r>
      <w:r w:rsidR="000350DA">
        <w:t>„Ausklammern des jeweils längsten gemeinsamen Präfix‘“</w:t>
      </w:r>
      <w:r>
        <w:t>)</w:t>
      </w:r>
      <w:r w:rsidR="000350DA">
        <w:t xml:space="preserve">.  </w:t>
      </w:r>
      <w:r w:rsidR="00BE2F27">
        <w:t>Die Prüfung der beiden LL(1)-Forderungen erledigt AtoCC für uns:</w:t>
      </w:r>
    </w:p>
    <w:p w:rsidR="00BE2F27" w:rsidRDefault="00BE2F27" w:rsidP="00BE2F27">
      <w:pPr>
        <w:jc w:val="center"/>
      </w:pPr>
      <w:r>
        <w:rPr>
          <w:noProof/>
          <w:lang w:eastAsia="de-DE"/>
        </w:rPr>
        <w:drawing>
          <wp:inline distT="0" distB="0" distL="0" distR="0">
            <wp:extent cx="3307245" cy="2799606"/>
            <wp:effectExtent l="19050" t="0" r="745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292" cy="2800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730" w:rsidRDefault="000350DA" w:rsidP="00A668F2">
      <w:r>
        <w:t xml:space="preserve">Weder die erste noch die zweite Grammatikdefinition lässt jedoch klar erkennen, welche Ausdrücke damit beschrieben werden. Mag sein, dass die </w:t>
      </w:r>
      <w:r w:rsidR="00F9484C">
        <w:t>in dieser Form vorgegebenen</w:t>
      </w:r>
      <w:r>
        <w:t xml:space="preserve"> Produktionen (durch Ableitungsübungen)</w:t>
      </w:r>
      <w:r w:rsidR="00F9484C">
        <w:t xml:space="preserve"> von den Schüler</w:t>
      </w:r>
      <w:r w:rsidR="00492CAB">
        <w:t>i</w:t>
      </w:r>
      <w:r w:rsidR="00F9484C">
        <w:t>n</w:t>
      </w:r>
      <w:r w:rsidR="00492CAB">
        <w:t>nen und Schülern</w:t>
      </w:r>
      <w:r>
        <w:t xml:space="preserve"> verifiziert und akzeptiert, wohl aber nicht</w:t>
      </w:r>
      <w:r w:rsidR="007F0730">
        <w:t xml:space="preserve"> </w:t>
      </w:r>
      <w:r w:rsidR="00F9484C">
        <w:t xml:space="preserve">selbstständig </w:t>
      </w:r>
      <w:r w:rsidR="007F0730">
        <w:t xml:space="preserve">entwickelt und verantwortungsbewusst </w:t>
      </w:r>
      <w:r w:rsidR="00F9484C">
        <w:t>vertreten</w:t>
      </w:r>
      <w:r w:rsidR="007F0730">
        <w:t xml:space="preserve"> werden können. Ein wesentlich be</w:t>
      </w:r>
      <w:r w:rsidR="007F0730">
        <w:t>s</w:t>
      </w:r>
      <w:r w:rsidR="007F0730">
        <w:t>serer Vo</w:t>
      </w:r>
      <w:r w:rsidR="007F0730">
        <w:t>r</w:t>
      </w:r>
      <w:r w:rsidR="007F0730">
        <w:t>schlag, der die Ausdrü</w:t>
      </w:r>
      <w:r w:rsidR="00F9484C">
        <w:t>cke s</w:t>
      </w:r>
      <w:r w:rsidR="007F0730">
        <w:t>truk</w:t>
      </w:r>
      <w:r w:rsidR="00F9484C">
        <w:t>tur</w:t>
      </w:r>
      <w:r w:rsidR="007F0730">
        <w:t>adäquat beschreibt, ist folgender.</w:t>
      </w:r>
    </w:p>
    <w:p w:rsidR="007F0730" w:rsidRPr="00724DAE" w:rsidRDefault="00263E72" w:rsidP="00263E72">
      <w:pPr>
        <w:rPr>
          <w:rFonts w:ascii="Courier New" w:hAnsi="Courier New" w:cs="Courier New"/>
          <w:sz w:val="20"/>
        </w:rPr>
      </w:pPr>
      <w:r w:rsidRPr="00724DAE">
        <w:rPr>
          <w:rFonts w:ascii="Courier New" w:hAnsi="Courier New" w:cs="Courier New"/>
          <w:sz w:val="20"/>
        </w:rPr>
        <w:t>G = (N, T, P, s)</w:t>
      </w:r>
      <w:r w:rsidRPr="00724DAE">
        <w:rPr>
          <w:rFonts w:ascii="Courier New" w:hAnsi="Courier New" w:cs="Courier New"/>
          <w:sz w:val="20"/>
        </w:rPr>
        <w:br/>
        <w:t>N = {Ausdruck, Summe, Produkt, Zahl, Ziffer}</w:t>
      </w:r>
      <w:r w:rsidRPr="00724DAE">
        <w:rPr>
          <w:rFonts w:ascii="Courier New" w:hAnsi="Courier New" w:cs="Courier New"/>
          <w:sz w:val="20"/>
        </w:rPr>
        <w:br/>
        <w:t>T = {(, ), +, *, 0, 1, 2, 3, 4, 5, 6, 7, 8, 9}</w:t>
      </w:r>
      <w:r w:rsidRPr="00724DAE">
        <w:rPr>
          <w:rFonts w:ascii="Courier New" w:hAnsi="Courier New" w:cs="Courier New"/>
          <w:sz w:val="20"/>
        </w:rPr>
        <w:br/>
        <w:t xml:space="preserve">P = { Ausdruck -&gt; ( Ausdruck ) | Produkt | Zahl | Summe </w:t>
      </w:r>
      <w:r w:rsidRPr="00724DAE">
        <w:rPr>
          <w:rFonts w:ascii="Courier New" w:hAnsi="Courier New" w:cs="Courier New"/>
          <w:sz w:val="20"/>
        </w:rPr>
        <w:br/>
        <w:t xml:space="preserve">      Summe    -&gt; Ausdruck + Ausdruck </w:t>
      </w:r>
      <w:r w:rsidRPr="00724DAE">
        <w:rPr>
          <w:rFonts w:ascii="Courier New" w:hAnsi="Courier New" w:cs="Courier New"/>
          <w:sz w:val="20"/>
        </w:rPr>
        <w:br/>
        <w:t xml:space="preserve">      Produkt  -&gt; Ausdruck * Ausdruck </w:t>
      </w:r>
      <w:r w:rsidRPr="00724DAE">
        <w:rPr>
          <w:rFonts w:ascii="Courier New" w:hAnsi="Courier New" w:cs="Courier New"/>
          <w:sz w:val="20"/>
        </w:rPr>
        <w:br/>
        <w:t xml:space="preserve">      Zahl     -&gt; Ziffer | Ziffer Zahl </w:t>
      </w:r>
      <w:r w:rsidRPr="00724DAE">
        <w:rPr>
          <w:rFonts w:ascii="Courier New" w:hAnsi="Courier New" w:cs="Courier New"/>
          <w:sz w:val="20"/>
        </w:rPr>
        <w:br/>
        <w:t xml:space="preserve">      Ziffer   -&gt; 0 | 1 | 2 | 3 | 4 | 5 | 6 | 7 | 8 | 9  }</w:t>
      </w:r>
      <w:r w:rsidRPr="00724DAE">
        <w:rPr>
          <w:rFonts w:ascii="Courier New" w:hAnsi="Courier New" w:cs="Courier New"/>
          <w:sz w:val="20"/>
        </w:rPr>
        <w:br/>
        <w:t>s = Ausdruck</w:t>
      </w:r>
    </w:p>
    <w:p w:rsidR="007F0730" w:rsidRDefault="007F0730" w:rsidP="00A668F2">
      <w:r>
        <w:t>Zu beachten ist nebenbei, dass hier mit beliebig langen Zahlwörtern gearbeitet wird, denn das</w:t>
      </w:r>
      <w:r w:rsidR="007D48B7">
        <w:t xml:space="preserve"> vorg</w:t>
      </w:r>
      <w:r w:rsidR="007D48B7">
        <w:t>e</w:t>
      </w:r>
      <w:r w:rsidR="007D48B7">
        <w:t xml:space="preserve">schlagene </w:t>
      </w:r>
      <w:r>
        <w:t xml:space="preserve">Rechnen mit Ziffern (um der Implementierung den unhandlichen Umgang mit trennenden Leerzeichen zu ersparen) dürfte Schülerinnen und Schüler nicht allzu praxisorientiert </w:t>
      </w:r>
      <w:r w:rsidR="00F9484C">
        <w:t>anmuten</w:t>
      </w:r>
      <w:r>
        <w:t>.</w:t>
      </w:r>
    </w:p>
    <w:p w:rsidR="00573ED5" w:rsidRDefault="007D48B7" w:rsidP="00A668F2">
      <w:r>
        <w:lastRenderedPageBreak/>
        <w:t xml:space="preserve">Tatsächlich liefert dieser Entwurf keine LL(1)-Grammatik und kann folglich </w:t>
      </w:r>
      <w:r w:rsidRPr="00492CAB">
        <w:t>nicht</w:t>
      </w:r>
      <w:r>
        <w:t xml:space="preserve"> zur (automatisierten) Herstellung eines rekursiven-Abstiegs-Parsers herangezogen werden. Da es zur Erreichung der hier angestrebten Lernziele von Bedeutung ist, einen Parser nach dieser bequemen Entwurfsmethode (je Nichtterminal eine Methode) herzustellen, müssen also Grammatiktransformationen, wie oben a</w:t>
      </w:r>
      <w:r>
        <w:t>n</w:t>
      </w:r>
      <w:r w:rsidR="00573ED5">
        <w:t xml:space="preserve">gewandt, </w:t>
      </w:r>
      <w:r w:rsidR="00492CAB">
        <w:t xml:space="preserve">unbedingt </w:t>
      </w:r>
      <w:r w:rsidR="00573ED5">
        <w:t xml:space="preserve">thematisiert werden. </w:t>
      </w:r>
    </w:p>
    <w:p w:rsidR="00880958" w:rsidRDefault="00573ED5" w:rsidP="00A668F2"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1365250</wp:posOffset>
            </wp:positionV>
            <wp:extent cx="2690495" cy="1954530"/>
            <wp:effectExtent l="19050" t="0" r="0" b="0"/>
            <wp:wrapTight wrapText="bothSides">
              <wp:wrapPolygon edited="0">
                <wp:start x="-153" y="0"/>
                <wp:lineTo x="-153" y="21474"/>
                <wp:lineTo x="21564" y="21474"/>
                <wp:lineTo x="21564" y="0"/>
                <wp:lineTo x="-153" y="0"/>
              </wp:wrapPolygon>
            </wp:wrapTight>
            <wp:docPr id="3" name="Grafik 2" descr="T-Dia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-Diag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0495" cy="195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1471295</wp:posOffset>
            </wp:positionV>
            <wp:extent cx="3015615" cy="1815465"/>
            <wp:effectExtent l="19050" t="0" r="0" b="0"/>
            <wp:wrapTight wrapText="bothSides">
              <wp:wrapPolygon edited="0">
                <wp:start x="-136" y="0"/>
                <wp:lineTo x="-136" y="21305"/>
                <wp:lineTo x="21559" y="21305"/>
                <wp:lineTo x="21559" y="0"/>
                <wp:lineTo x="-136" y="0"/>
              </wp:wrapPolygon>
            </wp:wrapTight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181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195E">
        <w:t xml:space="preserve">Für das weitere Vorgehen verwendet man </w:t>
      </w:r>
      <w:r>
        <w:t>also (nach gezielter Transformatio</w:t>
      </w:r>
      <w:r w:rsidR="00A0195E">
        <w:t>n</w:t>
      </w:r>
      <w:r>
        <w:t>)</w:t>
      </w:r>
      <w:r w:rsidR="00A0195E">
        <w:t xml:space="preserve"> die </w:t>
      </w:r>
      <w:r w:rsidR="00492CAB">
        <w:t>oben als e</w:t>
      </w:r>
      <w:r w:rsidR="00492CAB">
        <w:t>r</w:t>
      </w:r>
      <w:r w:rsidR="00492CAB">
        <w:t xml:space="preserve">ste angegebene </w:t>
      </w:r>
      <w:r w:rsidR="00A0195E">
        <w:t>LL(1)-</w:t>
      </w:r>
      <w:r w:rsidR="00724DAE">
        <w:t>Grammatik</w:t>
      </w:r>
      <w:r w:rsidR="00A0195E">
        <w:t xml:space="preserve"> und kann nun mittels AtoCC automatisch einen Parser</w:t>
      </w:r>
      <w:r w:rsidR="00724DAE">
        <w:t xml:space="preserve"> (in der Abb.: gll1parser)</w:t>
      </w:r>
      <w:r w:rsidR="00A0195E">
        <w:t xml:space="preserve"> generieren. Die Modellierung des Verarbeitungsprozesses, der </w:t>
      </w:r>
      <w:r>
        <w:t>von Brandes</w:t>
      </w:r>
      <w:r w:rsidR="00A0195E">
        <w:t xml:space="preserve"> darg</w:t>
      </w:r>
      <w:r w:rsidR="00A0195E">
        <w:t>e</w:t>
      </w:r>
      <w:r w:rsidR="00A0195E">
        <w:t>legt wurde, wird mit AtoCC visualisiert und ausge</w:t>
      </w:r>
      <w:r w:rsidR="00724DAE">
        <w:t>führt</w:t>
      </w:r>
      <w:r w:rsidR="00A0195E">
        <w:t>. Hierzu wur</w:t>
      </w:r>
      <w:r>
        <w:t>den die im Beitrag</w:t>
      </w:r>
      <w:r w:rsidR="00A0195E">
        <w:t xml:space="preserve"> entwickelten J</w:t>
      </w:r>
      <w:r w:rsidR="00A0195E">
        <w:t>a</w:t>
      </w:r>
      <w:r w:rsidR="00A0195E">
        <w:t>va-Programme zur Infix-Postfix-Konvertierung</w:t>
      </w:r>
      <w:r w:rsidR="00724DAE">
        <w:t xml:space="preserve"> (InPostfix) und zur Auswertung des</w:t>
      </w:r>
      <w:r w:rsidR="00A0195E">
        <w:t xml:space="preserve"> </w:t>
      </w:r>
      <w:r w:rsidR="00724DAE">
        <w:t>jeweils erzeugten Postfix-Ausdrucks</w:t>
      </w:r>
      <w:r w:rsidR="00A0195E">
        <w:t xml:space="preserve"> </w:t>
      </w:r>
      <w:r w:rsidR="00D32D68">
        <w:t xml:space="preserve">durch sehr wenige Programmzeilen (Lesen aus / Schreiben in Dateien) erweitert und </w:t>
      </w:r>
      <w:r w:rsidR="00A0195E">
        <w:t>verwendet, d.h. an den entsprechenden Ste</w:t>
      </w:r>
      <w:r w:rsidR="00A0195E">
        <w:t>l</w:t>
      </w:r>
      <w:r w:rsidR="00A0195E">
        <w:t>len im T-Diagramm einbezogen.</w:t>
      </w:r>
    </w:p>
    <w:p w:rsidR="00F06E77" w:rsidRDefault="00F06E77" w:rsidP="00F06E77">
      <w:r>
        <w:t>Der im T-Diagramm verwendete infix</w:t>
      </w:r>
      <w:r w:rsidRPr="00573ED5">
        <w:rPr>
          <w:rFonts w:ascii="Courier New" w:hAnsi="Courier New" w:cs="Courier New"/>
        </w:rPr>
        <w:t>-&gt;</w:t>
      </w:r>
      <w:r>
        <w:t>infix-Compiler schreibt den Infix-Ausdruck aus der Eingab</w:t>
      </w:r>
      <w:r>
        <w:t>e</w:t>
      </w:r>
      <w:r>
        <w:t>datei unverändert in die Ausgabedatei. Hier ist also nur das Parsing von Bedeutung.</w:t>
      </w:r>
      <w:r w:rsidR="00573ED5">
        <w:t xml:space="preserve"> Anschließend wird der syntaktisch korrekte Infix-Ausdruck </w:t>
      </w:r>
      <w:r w:rsidR="00724DAE">
        <w:t>(Inhalt von</w:t>
      </w:r>
      <w:r w:rsidR="00573ED5">
        <w:t xml:space="preserve"> output.txt</w:t>
      </w:r>
      <w:r w:rsidR="00724DAE">
        <w:t>)</w:t>
      </w:r>
      <w:r w:rsidR="00573ED5">
        <w:t xml:space="preserve"> in einen entsprechenden Postfix-Ausdruck übersetzt und vom Java-Programm für die Auswertung von Postfix-Ausdrücken der hier betrachteten Form evaluiert (Interpreter-Baustein).</w:t>
      </w:r>
    </w:p>
    <w:p w:rsidR="00573ED5" w:rsidRDefault="00573ED5" w:rsidP="00F06E77">
      <w:r>
        <w:t xml:space="preserve">Auf diese Weise können die Lernziele des von Brandes betrachteten Themas </w:t>
      </w:r>
      <w:r w:rsidR="00724DAE">
        <w:t>u</w:t>
      </w:r>
      <w:r>
        <w:t>.E. besser erreicht und irreführende Sichtweise</w:t>
      </w:r>
      <w:r w:rsidR="002658D0">
        <w:t>n</w:t>
      </w:r>
      <w:r>
        <w:t xml:space="preserve"> </w:t>
      </w:r>
      <w:r w:rsidR="002658D0">
        <w:t xml:space="preserve">vermieden </w:t>
      </w:r>
      <w:r>
        <w:t>werden.</w:t>
      </w:r>
      <w:r w:rsidR="00724DAE">
        <w:t xml:space="preserve"> Weitere Erläuterungen zur AtoCC-Nutzung und zugeh</w:t>
      </w:r>
      <w:r w:rsidR="00724DAE">
        <w:t>ö</w:t>
      </w:r>
      <w:r w:rsidR="00724DAE">
        <w:t>rige Theoriebezüge fi</w:t>
      </w:r>
      <w:r w:rsidR="00724DAE">
        <w:t>n</w:t>
      </w:r>
      <w:r w:rsidR="00724DAE">
        <w:t>det man in /2/.</w:t>
      </w:r>
    </w:p>
    <w:p w:rsidR="00DA4AFC" w:rsidRDefault="00245C4E" w:rsidP="00F06E77">
      <w:r>
        <w:t>Leserinnen und Leser, die</w:t>
      </w:r>
      <w:r w:rsidR="00A26674">
        <w:t xml:space="preserve"> Interesse an der von </w:t>
      </w:r>
      <w:r w:rsidR="00DA4AFC">
        <w:t>Brandes</w:t>
      </w:r>
      <w:r w:rsidR="00A26674">
        <w:t xml:space="preserve"> beschriebenen Aufgabenstellung haben, d</w:t>
      </w:r>
      <w:r w:rsidR="00A26674">
        <w:t>a</w:t>
      </w:r>
      <w:r w:rsidR="00A26674">
        <w:t xml:space="preserve">bei jedoch weniger Java-Integration wünschen, können dies komplett mit AtoCC erledigen. Dabei verwenden wir </w:t>
      </w:r>
      <w:r w:rsidR="00DA4AFC">
        <w:t>die folgende Grammatik</w:t>
      </w:r>
      <w:r w:rsidR="00436AF3">
        <w:t xml:space="preserve">, die die gewünschten Operator-Präzedenzen </w:t>
      </w:r>
      <w:r w:rsidR="00724DAE">
        <w:t xml:space="preserve">bereits </w:t>
      </w:r>
      <w:r w:rsidR="00436AF3">
        <w:t>berüc</w:t>
      </w:r>
      <w:r w:rsidR="00436AF3">
        <w:t>k</w:t>
      </w:r>
      <w:r w:rsidR="00436AF3">
        <w:t>sichtigt</w:t>
      </w:r>
      <w:r w:rsidR="00A26674">
        <w:t xml:space="preserve">. </w:t>
      </w:r>
      <w:r>
        <w:t>Außerdem soll d</w:t>
      </w:r>
      <w:r w:rsidR="00DA4AFC">
        <w:t>as Rechnen mit</w:t>
      </w:r>
      <w:r>
        <w:t xml:space="preserve"> natürlichen</w:t>
      </w:r>
      <w:r w:rsidR="00DA4AFC">
        <w:t xml:space="preserve"> Za</w:t>
      </w:r>
      <w:r w:rsidR="00DA4AFC">
        <w:t>h</w:t>
      </w:r>
      <w:r w:rsidR="00DA4AFC">
        <w:t>len zulässig sein.</w:t>
      </w:r>
    </w:p>
    <w:p w:rsidR="00DA4AFC" w:rsidRPr="00DA4AFC" w:rsidRDefault="00DA4AFC" w:rsidP="00DA4AFC">
      <w:pPr>
        <w:rPr>
          <w:rFonts w:ascii="Courier New" w:hAnsi="Courier New" w:cs="Courier New"/>
        </w:rPr>
      </w:pPr>
      <w:r w:rsidRPr="00724DAE">
        <w:rPr>
          <w:rFonts w:ascii="Courier New" w:hAnsi="Courier New" w:cs="Courier New"/>
          <w:sz w:val="20"/>
        </w:rPr>
        <w:t>G = (N, T, P, s)</w:t>
      </w:r>
      <w:r w:rsidRPr="00724DAE">
        <w:rPr>
          <w:rFonts w:ascii="Courier New" w:hAnsi="Courier New" w:cs="Courier New"/>
          <w:sz w:val="20"/>
        </w:rPr>
        <w:br/>
        <w:t>N = {S, Ausdruck, Term, Faktor}</w:t>
      </w:r>
      <w:r w:rsidRPr="00724DAE">
        <w:rPr>
          <w:rFonts w:ascii="Courier New" w:hAnsi="Courier New" w:cs="Courier New"/>
          <w:sz w:val="20"/>
        </w:rPr>
        <w:br/>
        <w:t>T = {+, *, (, ), Zahl}</w:t>
      </w:r>
      <w:r w:rsidRPr="00724DAE">
        <w:rPr>
          <w:rFonts w:ascii="Courier New" w:hAnsi="Courier New" w:cs="Courier New"/>
          <w:sz w:val="20"/>
        </w:rPr>
        <w:br/>
        <w:t xml:space="preserve">P = {S        -&gt; Ausdruck </w:t>
      </w:r>
      <w:r w:rsidRPr="00724DAE">
        <w:rPr>
          <w:rFonts w:ascii="Courier New" w:hAnsi="Courier New" w:cs="Courier New"/>
          <w:sz w:val="20"/>
        </w:rPr>
        <w:br/>
        <w:t xml:space="preserve">     Ausdruck -&gt; Term + Ausdruck | Term </w:t>
      </w:r>
      <w:r w:rsidRPr="00724DAE">
        <w:rPr>
          <w:rFonts w:ascii="Courier New" w:hAnsi="Courier New" w:cs="Courier New"/>
          <w:sz w:val="20"/>
        </w:rPr>
        <w:br/>
        <w:t xml:space="preserve">     Term     -&gt; Faktor * Term | Faktor </w:t>
      </w:r>
      <w:r w:rsidRPr="00724DAE">
        <w:rPr>
          <w:rFonts w:ascii="Courier New" w:hAnsi="Courier New" w:cs="Courier New"/>
          <w:sz w:val="20"/>
        </w:rPr>
        <w:br/>
        <w:t xml:space="preserve">     Faktor   -&gt; ( Ausdruck ) | Zahl }</w:t>
      </w:r>
      <w:r w:rsidRPr="00724DAE">
        <w:rPr>
          <w:rFonts w:ascii="Courier New" w:hAnsi="Courier New" w:cs="Courier New"/>
          <w:sz w:val="20"/>
        </w:rPr>
        <w:br/>
        <w:t>s = S</w:t>
      </w:r>
    </w:p>
    <w:p w:rsidR="00245C4E" w:rsidRDefault="00436AF3" w:rsidP="00F06E77">
      <w:r>
        <w:rPr>
          <w:noProof/>
          <w:lang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882015</wp:posOffset>
            </wp:positionV>
            <wp:extent cx="3008630" cy="1802130"/>
            <wp:effectExtent l="19050" t="0" r="1270" b="0"/>
            <wp:wrapTight wrapText="bothSides">
              <wp:wrapPolygon edited="0">
                <wp:start x="-137" y="0"/>
                <wp:lineTo x="-137" y="21463"/>
                <wp:lineTo x="21609" y="21463"/>
                <wp:lineTo x="21609" y="0"/>
                <wp:lineTo x="-137" y="0"/>
              </wp:wrapPolygon>
            </wp:wrapTight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630" cy="180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835660</wp:posOffset>
            </wp:positionV>
            <wp:extent cx="2637790" cy="2146300"/>
            <wp:effectExtent l="19050" t="0" r="0" b="0"/>
            <wp:wrapTight wrapText="bothSides">
              <wp:wrapPolygon edited="0">
                <wp:start x="-156" y="0"/>
                <wp:lineTo x="-156" y="21472"/>
                <wp:lineTo x="21527" y="21472"/>
                <wp:lineTo x="21527" y="0"/>
                <wp:lineTo x="-156" y="0"/>
              </wp:wrapPolygon>
            </wp:wrapTight>
            <wp:docPr id="8" name="Grafik 7" descr="infix2pref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ix2prefix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5C4E">
        <w:t>G ist keine LL(1)-Grammatik. Die Methode des rekursiven Abstiegs kann im gesuchten Parser für I</w:t>
      </w:r>
      <w:r w:rsidR="00245C4E">
        <w:t>n</w:t>
      </w:r>
      <w:r w:rsidR="00245C4E">
        <w:t xml:space="preserve">fix-Ausdrücke nicht angewandt werden. AtoCC unterstützt uns </w:t>
      </w:r>
      <w:r w:rsidR="00724DAE">
        <w:t xml:space="preserve">jedoch </w:t>
      </w:r>
      <w:r w:rsidR="00245C4E">
        <w:t>bei der Herstellung eines en</w:t>
      </w:r>
      <w:r w:rsidR="00245C4E">
        <w:t>t</w:t>
      </w:r>
      <w:r w:rsidR="00245C4E">
        <w:t xml:space="preserve">sprechenden LR-Parsers für diese Sprache. Dieser </w:t>
      </w:r>
      <w:r w:rsidR="00F56CA3">
        <w:t xml:space="preserve">Parser </w:t>
      </w:r>
      <w:r w:rsidR="00245C4E">
        <w:t>kann durch Angabe einiger weniger Attrib</w:t>
      </w:r>
      <w:r w:rsidR="00245C4E">
        <w:t>u</w:t>
      </w:r>
      <w:r w:rsidR="00245C4E">
        <w:t>te zu einem Interpreter, genau: einem Evaluator für Infix-Ausdrücke, ausgebaut werden.</w:t>
      </w:r>
    </w:p>
    <w:p w:rsidR="00245C4E" w:rsidRDefault="00245C4E" w:rsidP="00F06E77"/>
    <w:p w:rsidR="00245C4E" w:rsidRDefault="00245C4E" w:rsidP="00F06E77">
      <w:r>
        <w:t>Wie man der Abb. en</w:t>
      </w:r>
      <w:r>
        <w:t>t</w:t>
      </w:r>
      <w:r>
        <w:t xml:space="preserve">nimmt, haben wir exemplarisch einen Infix-&gt;Präfix-Compiler entwickelt. Der von diesem Compiler erzeugte Präfix-Ausdruck kann von einem </w:t>
      </w:r>
      <w:r w:rsidR="00436AF3">
        <w:t>entsprechenden Evaluator interpr</w:t>
      </w:r>
      <w:r w:rsidR="00436AF3">
        <w:t>e</w:t>
      </w:r>
      <w:r w:rsidR="00436AF3">
        <w:t>tiert werden. Dafür ist kein weiteres Programm zu schreiben, da man beispielsweise auf einen vo</w:t>
      </w:r>
      <w:r w:rsidR="00436AF3">
        <w:t>r</w:t>
      </w:r>
      <w:r w:rsidR="00436AF3">
        <w:t>handenen Scheme-Interpreter zurückgreifen kann.</w:t>
      </w:r>
    </w:p>
    <w:p w:rsidR="00436AF3" w:rsidRDefault="00436AF3" w:rsidP="00F06E77">
      <w:r>
        <w:t xml:space="preserve">Im Beispiel wurde der Ausdruck </w:t>
      </w:r>
      <w:r w:rsidRPr="00F35BEA">
        <w:rPr>
          <w:rFonts w:ascii="Courier New" w:hAnsi="Courier New" w:cs="Courier New"/>
        </w:rPr>
        <w:t>((82+4)*4*(3+1+2*7)+5*12)</w:t>
      </w:r>
      <w:r>
        <w:t xml:space="preserve"> = 6252 verwendet.</w:t>
      </w:r>
    </w:p>
    <w:p w:rsidR="00F56CA3" w:rsidRDefault="00F56CA3" w:rsidP="00F06E77">
      <w:r>
        <w:t xml:space="preserve">Interessierte Leserinnen und Leser können sich mit Fragen und Anmerkungen gern per Mail </w:t>
      </w:r>
      <w:hyperlink r:id="rId12" w:history="1">
        <w:r w:rsidRPr="001F1B70">
          <w:rPr>
            <w:rStyle w:val="Hyperlink"/>
          </w:rPr>
          <w:t>c.wagenknecht@hs-zigr.de</w:t>
        </w:r>
      </w:hyperlink>
      <w:r>
        <w:t xml:space="preserve"> an den A</w:t>
      </w:r>
      <w:r>
        <w:t>u</w:t>
      </w:r>
      <w:r>
        <w:t>tor dieses Briefes wenden. Wir unterstützen gern, wenn es um Vorhaben zur Vermittlung von Inhalten aus der TI in der Schule geht.</w:t>
      </w:r>
    </w:p>
    <w:p w:rsidR="00550A38" w:rsidRDefault="00550A38" w:rsidP="00550A38">
      <w:r w:rsidRPr="001D675D">
        <w:rPr>
          <w:u w:val="single"/>
        </w:rPr>
        <w:t>Literatur</w:t>
      </w:r>
      <w:r>
        <w:t>:</w:t>
      </w:r>
    </w:p>
    <w:p w:rsidR="00550A38" w:rsidRDefault="00550A38" w:rsidP="00550A38">
      <w:r>
        <w:t>/1/ Wagenknecht, Chr.; Hielscher, M.: Ein „LP-schweres“ Problem – Theoretische Informatik im U</w:t>
      </w:r>
      <w:r>
        <w:t>n</w:t>
      </w:r>
      <w:r>
        <w:t>terricht. In: LOG IN, 28. Jg. (2008), Heft 150/151, S. 69–73.</w:t>
      </w:r>
    </w:p>
    <w:p w:rsidR="00550A38" w:rsidRDefault="00550A38" w:rsidP="00550A38">
      <w:r>
        <w:t>/2/ Wagenknecht, Chr.; Hielscher, M.: Formale Sprachen, abstrakte Automaten und Compiler</w:t>
      </w:r>
      <w:r>
        <w:br/>
        <w:t>Lehr- und Arbeitsbuch für Grundstudium und Fortbildung, Vieweg+Teubner, 2009. XII, 243 S. Mit 95 Abb. Br.</w:t>
      </w:r>
    </w:p>
    <w:p w:rsidR="00550A38" w:rsidRPr="009F3331" w:rsidRDefault="00550A38" w:rsidP="00550A38">
      <w:pPr>
        <w:ind w:left="5664"/>
        <w:rPr>
          <w:lang w:val="en-US"/>
        </w:rPr>
      </w:pPr>
      <w:r w:rsidRPr="009F3331">
        <w:rPr>
          <w:lang w:val="en-US"/>
        </w:rPr>
        <w:t>Prof. Dr. Christian Wagenknecht</w:t>
      </w:r>
      <w:r w:rsidRPr="009F3331">
        <w:rPr>
          <w:lang w:val="en-US"/>
        </w:rPr>
        <w:br/>
      </w:r>
      <w:r w:rsidR="009F3331" w:rsidRPr="009F3331">
        <w:rPr>
          <w:lang w:val="en-US"/>
        </w:rPr>
        <w:t>M</w:t>
      </w:r>
      <w:r w:rsidR="009F3331">
        <w:rPr>
          <w:lang w:val="en-US"/>
        </w:rPr>
        <w:t>.Sc. Michael Hielscher</w:t>
      </w:r>
    </w:p>
    <w:p w:rsidR="00A668F2" w:rsidRPr="00071274" w:rsidRDefault="00A668F2" w:rsidP="00A668F2">
      <w:pPr>
        <w:rPr>
          <w:lang w:val="en-US"/>
        </w:rPr>
      </w:pPr>
    </w:p>
    <w:sectPr w:rsidR="00A668F2" w:rsidRPr="00071274" w:rsidSect="00414C53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14D" w:rsidRDefault="005C114D" w:rsidP="000350DA">
      <w:pPr>
        <w:spacing w:after="0" w:line="240" w:lineRule="auto"/>
      </w:pPr>
      <w:r>
        <w:separator/>
      </w:r>
    </w:p>
  </w:endnote>
  <w:endnote w:type="continuationSeparator" w:id="0">
    <w:p w:rsidR="005C114D" w:rsidRDefault="005C114D" w:rsidP="00035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14D" w:rsidRDefault="005C114D" w:rsidP="000350DA">
      <w:pPr>
        <w:spacing w:after="0" w:line="240" w:lineRule="auto"/>
      </w:pPr>
      <w:r>
        <w:separator/>
      </w:r>
    </w:p>
  </w:footnote>
  <w:footnote w:type="continuationSeparator" w:id="0">
    <w:p w:rsidR="005C114D" w:rsidRDefault="005C114D" w:rsidP="00035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15025"/>
      <w:docPartObj>
        <w:docPartGallery w:val="Page Numbers (Top of Page)"/>
        <w:docPartUnique/>
      </w:docPartObj>
    </w:sdtPr>
    <w:sdtContent>
      <w:p w:rsidR="00245C4E" w:rsidRDefault="00245C4E">
        <w:pPr>
          <w:pStyle w:val="Kopfzeile"/>
          <w:jc w:val="center"/>
        </w:pPr>
        <w:fldSimple w:instr=" PAGE   \* MERGEFORMAT ">
          <w:r w:rsidR="009F3331">
            <w:rPr>
              <w:noProof/>
            </w:rPr>
            <w:t>4</w:t>
          </w:r>
        </w:fldSimple>
      </w:p>
    </w:sdtContent>
  </w:sdt>
  <w:p w:rsidR="00245C4E" w:rsidRDefault="00245C4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6D82"/>
    <w:rsid w:val="000350DA"/>
    <w:rsid w:val="00071274"/>
    <w:rsid w:val="0008653F"/>
    <w:rsid w:val="00097EFB"/>
    <w:rsid w:val="000D3DF0"/>
    <w:rsid w:val="001B7402"/>
    <w:rsid w:val="001C198F"/>
    <w:rsid w:val="001D675D"/>
    <w:rsid w:val="00245C4E"/>
    <w:rsid w:val="00263E72"/>
    <w:rsid w:val="002658D0"/>
    <w:rsid w:val="0032296D"/>
    <w:rsid w:val="003F3EDE"/>
    <w:rsid w:val="00414C53"/>
    <w:rsid w:val="00436AF3"/>
    <w:rsid w:val="00446E7B"/>
    <w:rsid w:val="00492CAB"/>
    <w:rsid w:val="00550A38"/>
    <w:rsid w:val="00564F60"/>
    <w:rsid w:val="00573ED5"/>
    <w:rsid w:val="005A2CBD"/>
    <w:rsid w:val="005C114D"/>
    <w:rsid w:val="00666227"/>
    <w:rsid w:val="006A1E6A"/>
    <w:rsid w:val="00724DAE"/>
    <w:rsid w:val="007D48B7"/>
    <w:rsid w:val="007F0730"/>
    <w:rsid w:val="008227A6"/>
    <w:rsid w:val="00880958"/>
    <w:rsid w:val="008F21C5"/>
    <w:rsid w:val="00913D65"/>
    <w:rsid w:val="0097254A"/>
    <w:rsid w:val="009F3331"/>
    <w:rsid w:val="009F60CB"/>
    <w:rsid w:val="00A0195E"/>
    <w:rsid w:val="00A26674"/>
    <w:rsid w:val="00A668F2"/>
    <w:rsid w:val="00AD7B70"/>
    <w:rsid w:val="00AE748B"/>
    <w:rsid w:val="00B153B9"/>
    <w:rsid w:val="00BE2F27"/>
    <w:rsid w:val="00CA40B3"/>
    <w:rsid w:val="00CE469E"/>
    <w:rsid w:val="00D32D68"/>
    <w:rsid w:val="00D652C2"/>
    <w:rsid w:val="00D92DE5"/>
    <w:rsid w:val="00DA4AFC"/>
    <w:rsid w:val="00E66D41"/>
    <w:rsid w:val="00ED673F"/>
    <w:rsid w:val="00F02069"/>
    <w:rsid w:val="00F06E77"/>
    <w:rsid w:val="00F35BEA"/>
    <w:rsid w:val="00F56CA3"/>
    <w:rsid w:val="00F56D82"/>
    <w:rsid w:val="00F9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4C53"/>
  </w:style>
  <w:style w:type="paragraph" w:styleId="berschrift1">
    <w:name w:val="heading 1"/>
    <w:basedOn w:val="Standard"/>
    <w:next w:val="Standard"/>
    <w:link w:val="berschrift1Zchn"/>
    <w:uiPriority w:val="9"/>
    <w:qFormat/>
    <w:rsid w:val="000712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712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712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2F2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35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50DA"/>
  </w:style>
  <w:style w:type="paragraph" w:styleId="Fuzeile">
    <w:name w:val="footer"/>
    <w:basedOn w:val="Standard"/>
    <w:link w:val="FuzeileZchn"/>
    <w:uiPriority w:val="99"/>
    <w:semiHidden/>
    <w:unhideWhenUsed/>
    <w:rsid w:val="00035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350DA"/>
  </w:style>
  <w:style w:type="character" w:customStyle="1" w:styleId="berschrift1Zchn">
    <w:name w:val="Überschrift 1 Zchn"/>
    <w:basedOn w:val="Absatz-Standardschriftart"/>
    <w:link w:val="berschrift1"/>
    <w:uiPriority w:val="9"/>
    <w:rsid w:val="00071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712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712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Absatz-Standardschriftart"/>
    <w:uiPriority w:val="99"/>
    <w:unhideWhenUsed/>
    <w:rsid w:val="008227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mailto:c.wagenknecht@hs-zigr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1076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32</cp:revision>
  <dcterms:created xsi:type="dcterms:W3CDTF">2009-06-12T08:45:00Z</dcterms:created>
  <dcterms:modified xsi:type="dcterms:W3CDTF">2009-06-13T14:14:00Z</dcterms:modified>
</cp:coreProperties>
</file>